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3E452" w14:textId="5962750A" w:rsidR="007616D4" w:rsidRDefault="007616D4" w:rsidP="007616D4">
      <w:pPr>
        <w:spacing w:after="0" w:line="240" w:lineRule="auto"/>
        <w:jc w:val="center"/>
        <w:rPr>
          <w:b/>
          <w:bCs/>
          <w:sz w:val="24"/>
          <w:szCs w:val="24"/>
        </w:rPr>
      </w:pPr>
      <w:r w:rsidRPr="007616D4">
        <w:rPr>
          <w:b/>
          <w:bCs/>
          <w:sz w:val="24"/>
          <w:szCs w:val="24"/>
        </w:rPr>
        <w:t xml:space="preserve">RRT </w:t>
      </w:r>
      <w:r w:rsidR="00815815">
        <w:rPr>
          <w:b/>
          <w:bCs/>
          <w:sz w:val="24"/>
          <w:szCs w:val="24"/>
        </w:rPr>
        <w:t>T</w:t>
      </w:r>
      <w:r w:rsidRPr="007616D4">
        <w:rPr>
          <w:b/>
          <w:bCs/>
          <w:sz w:val="24"/>
          <w:szCs w:val="24"/>
        </w:rPr>
        <w:t>raining</w:t>
      </w:r>
      <w:r>
        <w:rPr>
          <w:b/>
          <w:bCs/>
          <w:sz w:val="24"/>
          <w:szCs w:val="24"/>
        </w:rPr>
        <w:t xml:space="preserve"> </w:t>
      </w:r>
      <w:r w:rsidR="00815815">
        <w:rPr>
          <w:b/>
          <w:bCs/>
          <w:sz w:val="24"/>
          <w:szCs w:val="24"/>
        </w:rPr>
        <w:t>P</w:t>
      </w:r>
      <w:r>
        <w:rPr>
          <w:b/>
          <w:bCs/>
          <w:sz w:val="24"/>
          <w:szCs w:val="24"/>
        </w:rPr>
        <w:t>ackage</w:t>
      </w:r>
    </w:p>
    <w:p w14:paraId="42EACB1F" w14:textId="77777777" w:rsidR="007616D4" w:rsidRPr="007616D4" w:rsidRDefault="007616D4" w:rsidP="007616D4">
      <w:pPr>
        <w:spacing w:after="0" w:line="240" w:lineRule="auto"/>
        <w:jc w:val="center"/>
        <w:rPr>
          <w:b/>
          <w:bCs/>
          <w:sz w:val="24"/>
          <w:szCs w:val="24"/>
        </w:rPr>
      </w:pPr>
    </w:p>
    <w:p w14:paraId="447F39FB" w14:textId="243BE449" w:rsidR="007616D4" w:rsidRPr="007616D4" w:rsidRDefault="00D7605A" w:rsidP="007616D4">
      <w:pPr>
        <w:spacing w:after="0" w:line="240" w:lineRule="auto"/>
        <w:jc w:val="center"/>
        <w:rPr>
          <w:b/>
          <w:bCs/>
          <w:sz w:val="24"/>
          <w:szCs w:val="24"/>
        </w:rPr>
      </w:pPr>
      <w:r>
        <w:rPr>
          <w:b/>
          <w:bCs/>
          <w:sz w:val="24"/>
          <w:szCs w:val="24"/>
        </w:rPr>
        <w:t>A3.1</w:t>
      </w:r>
      <w:r w:rsidR="00E56B83">
        <w:rPr>
          <w:b/>
          <w:bCs/>
          <w:sz w:val="24"/>
          <w:szCs w:val="24"/>
        </w:rPr>
        <w:t xml:space="preserve"> What to know</w:t>
      </w:r>
      <w:r w:rsidR="007616D4" w:rsidRPr="007616D4">
        <w:rPr>
          <w:b/>
          <w:bCs/>
          <w:sz w:val="24"/>
          <w:szCs w:val="24"/>
        </w:rPr>
        <w:t xml:space="preserve"> before you go? – Facilitator guide</w:t>
      </w:r>
    </w:p>
    <w:p w14:paraId="34DAC14D" w14:textId="77777777" w:rsidR="007616D4" w:rsidRPr="007616D4" w:rsidRDefault="007616D4" w:rsidP="00C0376E">
      <w:pPr>
        <w:spacing w:after="0" w:line="240" w:lineRule="auto"/>
      </w:pPr>
    </w:p>
    <w:p w14:paraId="5F6B809E" w14:textId="77777777" w:rsidR="00815815" w:rsidRDefault="00815815" w:rsidP="00815815">
      <w:pPr>
        <w:spacing w:after="0" w:line="240" w:lineRule="auto"/>
        <w:jc w:val="both"/>
      </w:pPr>
      <w:r w:rsidRPr="00815815">
        <w:rPr>
          <w:b/>
          <w:bCs/>
          <w:color w:val="0070C0"/>
          <w:sz w:val="24"/>
        </w:rPr>
        <w:t>Duration</w:t>
      </w:r>
      <w:r w:rsidRPr="00815815">
        <w:rPr>
          <w:color w:val="0070C0"/>
          <w:sz w:val="24"/>
        </w:rPr>
        <w:t>:</w:t>
      </w:r>
      <w:r>
        <w:t xml:space="preserve">  </w:t>
      </w:r>
    </w:p>
    <w:p w14:paraId="56A6233F" w14:textId="5601B742" w:rsidR="00815815" w:rsidRDefault="00815815" w:rsidP="00815815">
      <w:pPr>
        <w:spacing w:after="0" w:line="240" w:lineRule="auto"/>
        <w:jc w:val="both"/>
      </w:pPr>
      <w:r>
        <w:t>45’ total (Intro: 5’; g</w:t>
      </w:r>
      <w:r w:rsidRPr="007616D4">
        <w:t>roup</w:t>
      </w:r>
      <w:r>
        <w:t xml:space="preserve"> work: 15’; debrief 10’ all groups; wrap-up: 10’</w:t>
      </w:r>
      <w:r w:rsidRPr="007616D4">
        <w:t xml:space="preserve">). </w:t>
      </w:r>
    </w:p>
    <w:p w14:paraId="5A4C28F7" w14:textId="77777777" w:rsidR="00815815" w:rsidRPr="007616D4" w:rsidRDefault="00815815" w:rsidP="00815815">
      <w:pPr>
        <w:spacing w:after="0" w:line="240" w:lineRule="auto"/>
        <w:jc w:val="both"/>
      </w:pPr>
    </w:p>
    <w:p w14:paraId="473686F5" w14:textId="77777777" w:rsidR="007616D4" w:rsidRPr="00815815" w:rsidRDefault="007616D4" w:rsidP="007616D4">
      <w:pPr>
        <w:spacing w:after="0" w:line="240" w:lineRule="auto"/>
        <w:jc w:val="both"/>
        <w:rPr>
          <w:color w:val="0070C0"/>
          <w:sz w:val="24"/>
          <w:lang w:val="en-US"/>
        </w:rPr>
      </w:pPr>
      <w:r w:rsidRPr="00815815">
        <w:rPr>
          <w:b/>
          <w:bCs/>
          <w:color w:val="0070C0"/>
          <w:sz w:val="24"/>
        </w:rPr>
        <w:t>Learning objectives</w:t>
      </w:r>
      <w:r w:rsidRPr="00815815">
        <w:rPr>
          <w:color w:val="0070C0"/>
          <w:sz w:val="24"/>
        </w:rPr>
        <w:t xml:space="preserve">: </w:t>
      </w:r>
    </w:p>
    <w:p w14:paraId="11E432A2" w14:textId="540FF6FC" w:rsidR="007616D4" w:rsidRPr="007616D4" w:rsidRDefault="007616D4" w:rsidP="007616D4">
      <w:pPr>
        <w:pStyle w:val="ListParagraph"/>
        <w:numPr>
          <w:ilvl w:val="0"/>
          <w:numId w:val="2"/>
        </w:numPr>
        <w:spacing w:after="0" w:line="240" w:lineRule="auto"/>
        <w:jc w:val="both"/>
        <w:rPr>
          <w:bCs/>
        </w:rPr>
      </w:pPr>
      <w:r>
        <w:rPr>
          <w:bCs/>
        </w:rPr>
        <w:t>I</w:t>
      </w:r>
      <w:r w:rsidRPr="007616D4">
        <w:rPr>
          <w:bCs/>
        </w:rPr>
        <w:t xml:space="preserve">dentify the key information that RRT members should </w:t>
      </w:r>
      <w:r w:rsidR="00C0376E">
        <w:rPr>
          <w:bCs/>
        </w:rPr>
        <w:t xml:space="preserve">receive or gather </w:t>
      </w:r>
      <w:r w:rsidRPr="007616D4">
        <w:rPr>
          <w:bCs/>
        </w:rPr>
        <w:t>before deployment to ensure their personal readiness, safety, and situational awareness.</w:t>
      </w:r>
    </w:p>
    <w:p w14:paraId="532C24EB" w14:textId="77777777" w:rsidR="007616D4" w:rsidRPr="007616D4" w:rsidRDefault="007616D4" w:rsidP="007616D4">
      <w:pPr>
        <w:spacing w:after="0" w:line="240" w:lineRule="auto"/>
        <w:jc w:val="both"/>
      </w:pPr>
    </w:p>
    <w:p w14:paraId="5F9123A3" w14:textId="73588D66" w:rsidR="00AA392C" w:rsidRPr="007616D4" w:rsidRDefault="007616D4" w:rsidP="007616D4">
      <w:pPr>
        <w:spacing w:after="0" w:line="240" w:lineRule="auto"/>
        <w:jc w:val="both"/>
      </w:pPr>
      <w:r w:rsidRPr="00815815">
        <w:rPr>
          <w:b/>
          <w:bCs/>
          <w:color w:val="0070C0"/>
          <w:sz w:val="24"/>
        </w:rPr>
        <w:t>Method</w:t>
      </w:r>
      <w:r w:rsidRPr="00815815">
        <w:rPr>
          <w:color w:val="0070C0"/>
          <w:sz w:val="24"/>
        </w:rPr>
        <w:t>:</w:t>
      </w:r>
      <w:r w:rsidRPr="007616D4">
        <w:t xml:space="preserve"> Group work </w:t>
      </w:r>
    </w:p>
    <w:p w14:paraId="5E10FD01" w14:textId="77777777" w:rsidR="007616D4" w:rsidRDefault="007616D4" w:rsidP="007616D4">
      <w:pPr>
        <w:spacing w:after="0" w:line="240" w:lineRule="auto"/>
        <w:jc w:val="both"/>
        <w:rPr>
          <w:b/>
          <w:bCs/>
        </w:rPr>
      </w:pPr>
    </w:p>
    <w:p w14:paraId="4CC6F291" w14:textId="77777777" w:rsidR="00AA392C" w:rsidRPr="00394477" w:rsidRDefault="007616D4" w:rsidP="007616D4">
      <w:pPr>
        <w:spacing w:after="0" w:line="240" w:lineRule="auto"/>
        <w:jc w:val="both"/>
        <w:rPr>
          <w:lang w:val="en-US"/>
        </w:rPr>
      </w:pPr>
      <w:r w:rsidRPr="00815815">
        <w:rPr>
          <w:b/>
          <w:bCs/>
          <w:color w:val="0070C0"/>
          <w:sz w:val="24"/>
          <w:lang w:val="en-US"/>
        </w:rPr>
        <w:t>Groups</w:t>
      </w:r>
      <w:r w:rsidRPr="00815815">
        <w:rPr>
          <w:color w:val="0070C0"/>
          <w:sz w:val="24"/>
          <w:lang w:val="en-US"/>
        </w:rPr>
        <w:t xml:space="preserve">: </w:t>
      </w:r>
      <w:r w:rsidRPr="00394477">
        <w:rPr>
          <w:lang w:val="en-US"/>
        </w:rPr>
        <w:t xml:space="preserve">4 - 6 groups depending on number of participants. </w:t>
      </w:r>
    </w:p>
    <w:p w14:paraId="07549167" w14:textId="77777777" w:rsidR="007616D4" w:rsidRPr="00394477" w:rsidRDefault="007616D4" w:rsidP="007616D4">
      <w:pPr>
        <w:spacing w:after="0" w:line="240" w:lineRule="auto"/>
        <w:jc w:val="both"/>
        <w:rPr>
          <w:b/>
          <w:bCs/>
          <w:lang w:val="en-US"/>
        </w:rPr>
      </w:pPr>
    </w:p>
    <w:p w14:paraId="525ABF09" w14:textId="77777777" w:rsidR="007616D4" w:rsidRPr="00815815" w:rsidRDefault="007616D4" w:rsidP="007616D4">
      <w:pPr>
        <w:spacing w:after="0" w:line="240" w:lineRule="auto"/>
        <w:jc w:val="both"/>
        <w:rPr>
          <w:color w:val="0070C0"/>
          <w:sz w:val="24"/>
          <w:lang w:val="en-US"/>
        </w:rPr>
      </w:pPr>
      <w:r w:rsidRPr="00815815">
        <w:rPr>
          <w:b/>
          <w:bCs/>
          <w:color w:val="0070C0"/>
          <w:sz w:val="24"/>
          <w:lang w:val="en-US"/>
        </w:rPr>
        <w:t>Instructions to be given to participants</w:t>
      </w:r>
      <w:r w:rsidRPr="00815815">
        <w:rPr>
          <w:color w:val="0070C0"/>
          <w:sz w:val="24"/>
          <w:lang w:val="en-US"/>
        </w:rPr>
        <w:t xml:space="preserve">: </w:t>
      </w:r>
    </w:p>
    <w:p w14:paraId="7E5F92F5" w14:textId="195AB20C" w:rsidR="00B15517" w:rsidRPr="00394477" w:rsidRDefault="00F66393" w:rsidP="00B15517">
      <w:pPr>
        <w:spacing w:after="0" w:line="240" w:lineRule="auto"/>
        <w:jc w:val="both"/>
        <w:rPr>
          <w:lang w:val="en-US"/>
        </w:rPr>
      </w:pPr>
      <w:r w:rsidRPr="00394477">
        <w:rPr>
          <w:lang w:val="en-US"/>
        </w:rPr>
        <w:t>In a table with 2</w:t>
      </w:r>
      <w:r w:rsidR="00B15517" w:rsidRPr="00394477">
        <w:rPr>
          <w:lang w:val="en-US"/>
        </w:rPr>
        <w:t xml:space="preserve"> columns, each group wil</w:t>
      </w:r>
      <w:r w:rsidRPr="00394477">
        <w:rPr>
          <w:lang w:val="en-US"/>
        </w:rPr>
        <w:t>l list the following</w:t>
      </w:r>
      <w:r w:rsidR="00B15517" w:rsidRPr="00394477">
        <w:rPr>
          <w:lang w:val="en-US"/>
        </w:rPr>
        <w:t>:</w:t>
      </w:r>
    </w:p>
    <w:p w14:paraId="3395C747" w14:textId="002816C5" w:rsidR="00B15517" w:rsidRPr="00394477" w:rsidRDefault="00F66393" w:rsidP="00815815">
      <w:pPr>
        <w:pStyle w:val="ListParagraph"/>
        <w:numPr>
          <w:ilvl w:val="0"/>
          <w:numId w:val="3"/>
        </w:numPr>
        <w:spacing w:after="0" w:line="240" w:lineRule="auto"/>
        <w:rPr>
          <w:lang w:val="en-US"/>
        </w:rPr>
      </w:pPr>
      <w:r w:rsidRPr="00394477">
        <w:rPr>
          <w:lang w:val="en-US"/>
        </w:rPr>
        <w:t>What information is needed before deployment by</w:t>
      </w:r>
      <w:r w:rsidR="00B15517" w:rsidRPr="00394477">
        <w:rPr>
          <w:lang w:val="en-US"/>
        </w:rPr>
        <w:t xml:space="preserve"> the members of the RRT to carry out their mission effectively and safe</w:t>
      </w:r>
      <w:r w:rsidR="00EF5799" w:rsidRPr="00394477">
        <w:rPr>
          <w:lang w:val="en-US"/>
        </w:rPr>
        <w:t>ly</w:t>
      </w:r>
      <w:r w:rsidR="00B15517" w:rsidRPr="00394477">
        <w:rPr>
          <w:lang w:val="en-US"/>
        </w:rPr>
        <w:t xml:space="preserve"> in a country or </w:t>
      </w:r>
      <w:r w:rsidR="00815815" w:rsidRPr="00394477">
        <w:rPr>
          <w:lang w:val="en-US"/>
        </w:rPr>
        <w:t>region?</w:t>
      </w:r>
    </w:p>
    <w:p w14:paraId="79DFE1A1" w14:textId="0898BB2E" w:rsidR="00B15517" w:rsidRPr="00394477" w:rsidRDefault="00EF5799" w:rsidP="00815815">
      <w:pPr>
        <w:pStyle w:val="ListParagraph"/>
        <w:numPr>
          <w:ilvl w:val="0"/>
          <w:numId w:val="3"/>
        </w:numPr>
        <w:spacing w:after="0" w:line="240" w:lineRule="auto"/>
        <w:rPr>
          <w:lang w:val="en-US"/>
        </w:rPr>
      </w:pPr>
      <w:r w:rsidRPr="00394477">
        <w:rPr>
          <w:lang w:val="en-US"/>
        </w:rPr>
        <w:t>P</w:t>
      </w:r>
      <w:r w:rsidR="00F66393" w:rsidRPr="00394477">
        <w:rPr>
          <w:lang w:val="en-US"/>
        </w:rPr>
        <w:t>otential sources of information.</w:t>
      </w:r>
    </w:p>
    <w:p w14:paraId="505782EE" w14:textId="1BD683F7" w:rsidR="00B15517" w:rsidRPr="00E9335E" w:rsidRDefault="00F66393" w:rsidP="007616D4">
      <w:pPr>
        <w:spacing w:after="0" w:line="240" w:lineRule="auto"/>
        <w:jc w:val="both"/>
        <w:rPr>
          <w:b/>
          <w:lang w:val="fr-FR"/>
        </w:rPr>
      </w:pPr>
      <w:r>
        <w:rPr>
          <w:b/>
          <w:lang w:val="fr-FR"/>
        </w:rPr>
        <w:t>T</w:t>
      </w:r>
      <w:r w:rsidR="00EF5799" w:rsidRPr="00EF5799">
        <w:rPr>
          <w:b/>
          <w:lang w:val="fr-FR"/>
        </w:rPr>
        <w:t>emplat</w:t>
      </w:r>
      <w:r w:rsidR="00EF5799">
        <w:rPr>
          <w:b/>
          <w:lang w:val="fr-FR"/>
        </w:rPr>
        <w:t>e</w:t>
      </w:r>
      <w:r w:rsidR="00E9335E">
        <w:rPr>
          <w:b/>
          <w:lang w:val="fr-FR"/>
        </w:rPr>
        <w:t> :</w:t>
      </w:r>
    </w:p>
    <w:tbl>
      <w:tblPr>
        <w:tblStyle w:val="MediumShading1-Accent1"/>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F66393" w:rsidRPr="00E9335E" w14:paraId="0CB08BC1" w14:textId="77777777" w:rsidTr="00815815">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right w:val="none" w:sz="0" w:space="0" w:color="auto"/>
            </w:tcBorders>
            <w:vAlign w:val="center"/>
          </w:tcPr>
          <w:p w14:paraId="4846CA5D" w14:textId="6DCDC413" w:rsidR="00F66393" w:rsidRPr="00E9335E" w:rsidRDefault="00D7605A" w:rsidP="00815815">
            <w:pPr>
              <w:jc w:val="center"/>
              <w:rPr>
                <w:sz w:val="24"/>
                <w:szCs w:val="24"/>
              </w:rPr>
            </w:pPr>
            <w:r>
              <w:rPr>
                <w:sz w:val="24"/>
                <w:szCs w:val="24"/>
              </w:rPr>
              <w:t>Information</w:t>
            </w:r>
            <w:r w:rsidR="00815815">
              <w:rPr>
                <w:sz w:val="24"/>
                <w:szCs w:val="24"/>
              </w:rPr>
              <w:t xml:space="preserve"> Needed</w:t>
            </w:r>
            <w:r>
              <w:rPr>
                <w:sz w:val="24"/>
                <w:szCs w:val="24"/>
              </w:rPr>
              <w:t>?</w:t>
            </w:r>
          </w:p>
        </w:tc>
        <w:tc>
          <w:tcPr>
            <w:tcW w:w="4536" w:type="dxa"/>
            <w:tcBorders>
              <w:top w:val="none" w:sz="0" w:space="0" w:color="auto"/>
              <w:left w:val="none" w:sz="0" w:space="0" w:color="auto"/>
              <w:bottom w:val="none" w:sz="0" w:space="0" w:color="auto"/>
              <w:right w:val="none" w:sz="0" w:space="0" w:color="auto"/>
            </w:tcBorders>
            <w:vAlign w:val="center"/>
          </w:tcPr>
          <w:p w14:paraId="5ECE2CD2" w14:textId="3D62F4C5" w:rsidR="00F66393" w:rsidRPr="00E9335E" w:rsidRDefault="00815815" w:rsidP="00815815">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Sources of I</w:t>
            </w:r>
            <w:r w:rsidR="00F66393">
              <w:rPr>
                <w:sz w:val="24"/>
                <w:szCs w:val="24"/>
              </w:rPr>
              <w:t>nformation</w:t>
            </w:r>
            <w:r w:rsidR="00D7605A">
              <w:rPr>
                <w:sz w:val="24"/>
                <w:szCs w:val="24"/>
              </w:rPr>
              <w:t>?</w:t>
            </w:r>
          </w:p>
        </w:tc>
      </w:tr>
      <w:tr w:rsidR="00F66393" w14:paraId="4CD62D36" w14:textId="77777777" w:rsidTr="00D7605A">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820" w:type="dxa"/>
            <w:tcBorders>
              <w:right w:val="none" w:sz="0" w:space="0" w:color="auto"/>
            </w:tcBorders>
          </w:tcPr>
          <w:p w14:paraId="6BEE18F8" w14:textId="77777777" w:rsidR="00F66393" w:rsidRDefault="00F66393" w:rsidP="007616D4">
            <w:pPr>
              <w:jc w:val="both"/>
            </w:pPr>
          </w:p>
        </w:tc>
        <w:tc>
          <w:tcPr>
            <w:tcW w:w="4536" w:type="dxa"/>
            <w:tcBorders>
              <w:left w:val="none" w:sz="0" w:space="0" w:color="auto"/>
            </w:tcBorders>
          </w:tcPr>
          <w:p w14:paraId="2840C23B" w14:textId="77777777" w:rsidR="00F66393" w:rsidRDefault="00F66393" w:rsidP="007616D4">
            <w:pPr>
              <w:jc w:val="both"/>
              <w:cnfStyle w:val="000000100000" w:firstRow="0" w:lastRow="0" w:firstColumn="0" w:lastColumn="0" w:oddVBand="0" w:evenVBand="0" w:oddHBand="1" w:evenHBand="0" w:firstRowFirstColumn="0" w:firstRowLastColumn="0" w:lastRowFirstColumn="0" w:lastRowLastColumn="0"/>
            </w:pPr>
          </w:p>
        </w:tc>
      </w:tr>
      <w:tr w:rsidR="00F66393" w14:paraId="7537E277" w14:textId="77777777" w:rsidTr="00D7605A">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820" w:type="dxa"/>
            <w:tcBorders>
              <w:right w:val="none" w:sz="0" w:space="0" w:color="auto"/>
            </w:tcBorders>
            <w:shd w:val="pct5" w:color="auto" w:fill="auto"/>
          </w:tcPr>
          <w:p w14:paraId="4F915A31" w14:textId="77777777" w:rsidR="00F66393" w:rsidRDefault="00F66393" w:rsidP="007616D4">
            <w:pPr>
              <w:jc w:val="both"/>
            </w:pPr>
          </w:p>
        </w:tc>
        <w:tc>
          <w:tcPr>
            <w:tcW w:w="4536" w:type="dxa"/>
            <w:tcBorders>
              <w:left w:val="none" w:sz="0" w:space="0" w:color="auto"/>
            </w:tcBorders>
            <w:shd w:val="pct5" w:color="auto" w:fill="auto"/>
          </w:tcPr>
          <w:p w14:paraId="163DE105" w14:textId="77777777" w:rsidR="00F66393" w:rsidRDefault="00F66393" w:rsidP="007616D4">
            <w:pPr>
              <w:jc w:val="both"/>
              <w:cnfStyle w:val="000000010000" w:firstRow="0" w:lastRow="0" w:firstColumn="0" w:lastColumn="0" w:oddVBand="0" w:evenVBand="0" w:oddHBand="0" w:evenHBand="1" w:firstRowFirstColumn="0" w:firstRowLastColumn="0" w:lastRowFirstColumn="0" w:lastRowLastColumn="0"/>
            </w:pPr>
          </w:p>
        </w:tc>
      </w:tr>
      <w:tr w:rsidR="00F66393" w14:paraId="2F7A87B1" w14:textId="77777777" w:rsidTr="00D7605A">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820" w:type="dxa"/>
            <w:tcBorders>
              <w:right w:val="none" w:sz="0" w:space="0" w:color="auto"/>
            </w:tcBorders>
          </w:tcPr>
          <w:p w14:paraId="7BF7D6B4" w14:textId="77777777" w:rsidR="00F66393" w:rsidRDefault="00F66393" w:rsidP="007616D4">
            <w:pPr>
              <w:jc w:val="both"/>
            </w:pPr>
          </w:p>
        </w:tc>
        <w:tc>
          <w:tcPr>
            <w:tcW w:w="4536" w:type="dxa"/>
            <w:tcBorders>
              <w:left w:val="none" w:sz="0" w:space="0" w:color="auto"/>
            </w:tcBorders>
          </w:tcPr>
          <w:p w14:paraId="6DF4B1BF" w14:textId="77777777" w:rsidR="00F66393" w:rsidRDefault="00F66393" w:rsidP="007616D4">
            <w:pPr>
              <w:jc w:val="both"/>
              <w:cnfStyle w:val="000000100000" w:firstRow="0" w:lastRow="0" w:firstColumn="0" w:lastColumn="0" w:oddVBand="0" w:evenVBand="0" w:oddHBand="1" w:evenHBand="0" w:firstRowFirstColumn="0" w:firstRowLastColumn="0" w:lastRowFirstColumn="0" w:lastRowLastColumn="0"/>
            </w:pPr>
          </w:p>
        </w:tc>
      </w:tr>
    </w:tbl>
    <w:p w14:paraId="0AB46B85" w14:textId="7F0330C1" w:rsidR="00B15517" w:rsidRDefault="00815815" w:rsidP="007616D4">
      <w:pPr>
        <w:spacing w:after="0" w:line="240" w:lineRule="auto"/>
        <w:jc w:val="both"/>
      </w:pPr>
      <w:r>
        <w:t xml:space="preserve">*Can be done solely on flipchart or on printable worksheet (Annex 1). </w:t>
      </w:r>
    </w:p>
    <w:p w14:paraId="387268C1" w14:textId="77777777" w:rsidR="00815815" w:rsidRDefault="00815815" w:rsidP="007616D4">
      <w:pPr>
        <w:spacing w:after="0" w:line="240" w:lineRule="auto"/>
        <w:jc w:val="both"/>
      </w:pPr>
    </w:p>
    <w:p w14:paraId="468D751A" w14:textId="77777777" w:rsidR="009D62A6" w:rsidRPr="00815815" w:rsidRDefault="009D62A6" w:rsidP="007616D4">
      <w:pPr>
        <w:spacing w:after="0" w:line="240" w:lineRule="auto"/>
        <w:jc w:val="both"/>
        <w:rPr>
          <w:b/>
          <w:color w:val="0070C0"/>
          <w:sz w:val="24"/>
        </w:rPr>
      </w:pPr>
      <w:r w:rsidRPr="00815815">
        <w:rPr>
          <w:b/>
          <w:color w:val="0070C0"/>
          <w:sz w:val="24"/>
        </w:rPr>
        <w:t>Review and debriefing</w:t>
      </w:r>
    </w:p>
    <w:p w14:paraId="35E0756D" w14:textId="7F059635" w:rsidR="00C0376E" w:rsidRPr="00C0376E" w:rsidRDefault="00C0376E" w:rsidP="007616D4">
      <w:pPr>
        <w:spacing w:after="0" w:line="240" w:lineRule="auto"/>
        <w:jc w:val="both"/>
        <w:rPr>
          <w:b/>
          <w:bCs/>
        </w:rPr>
      </w:pPr>
      <w:r w:rsidRPr="00C0376E">
        <w:rPr>
          <w:b/>
          <w:bCs/>
        </w:rPr>
        <w:t>About the mission</w:t>
      </w:r>
    </w:p>
    <w:p w14:paraId="4A6E542D" w14:textId="335E95DE" w:rsidR="00F66393" w:rsidRDefault="00F66393" w:rsidP="007616D4">
      <w:pPr>
        <w:spacing w:after="0" w:line="240" w:lineRule="auto"/>
        <w:jc w:val="both"/>
        <w:rPr>
          <w:bCs/>
        </w:rPr>
      </w:pPr>
      <w:r>
        <w:rPr>
          <w:bCs/>
        </w:rPr>
        <w:t>Pre-deploym</w:t>
      </w:r>
      <w:r w:rsidR="003869F1">
        <w:rPr>
          <w:bCs/>
        </w:rPr>
        <w:t xml:space="preserve">ent briefing for RRT team can </w:t>
      </w:r>
      <w:r>
        <w:rPr>
          <w:bCs/>
        </w:rPr>
        <w:t>include:</w:t>
      </w:r>
    </w:p>
    <w:p w14:paraId="68B58D38" w14:textId="17F79D79" w:rsidR="00433A22" w:rsidRDefault="00433A22" w:rsidP="00F66393">
      <w:pPr>
        <w:pStyle w:val="ListParagraph"/>
        <w:numPr>
          <w:ilvl w:val="0"/>
          <w:numId w:val="4"/>
        </w:numPr>
        <w:spacing w:after="0" w:line="240" w:lineRule="auto"/>
        <w:jc w:val="both"/>
      </w:pPr>
      <w:r>
        <w:t>Objectives for the mission</w:t>
      </w:r>
    </w:p>
    <w:p w14:paraId="17775C7F" w14:textId="1AF90880" w:rsidR="003E7218" w:rsidRDefault="003E7218" w:rsidP="00F66393">
      <w:pPr>
        <w:pStyle w:val="ListParagraph"/>
        <w:numPr>
          <w:ilvl w:val="0"/>
          <w:numId w:val="4"/>
        </w:numPr>
        <w:spacing w:after="0" w:line="240" w:lineRule="auto"/>
        <w:jc w:val="both"/>
      </w:pPr>
      <w:r>
        <w:t xml:space="preserve">Latest </w:t>
      </w:r>
      <w:r w:rsidR="00F80240">
        <w:t xml:space="preserve">available </w:t>
      </w:r>
      <w:r>
        <w:t>data (no matter how crude)</w:t>
      </w:r>
    </w:p>
    <w:p w14:paraId="53623C2A" w14:textId="1AFCE113" w:rsidR="003E7218" w:rsidRDefault="00F80240" w:rsidP="00F66393">
      <w:pPr>
        <w:pStyle w:val="ListParagraph"/>
        <w:numPr>
          <w:ilvl w:val="0"/>
          <w:numId w:val="4"/>
        </w:numPr>
        <w:spacing w:after="0" w:line="240" w:lineRule="auto"/>
        <w:jc w:val="both"/>
      </w:pPr>
      <w:r>
        <w:t>Expected r</w:t>
      </w:r>
      <w:r w:rsidR="003E7218">
        <w:t>eporting mechanism</w:t>
      </w:r>
      <w:r>
        <w:t xml:space="preserve"> (within the team, to HQ, etc.)</w:t>
      </w:r>
    </w:p>
    <w:p w14:paraId="7AAAF883" w14:textId="72005D08" w:rsidR="003E7218" w:rsidRDefault="003E7218" w:rsidP="00F66393">
      <w:pPr>
        <w:pStyle w:val="ListParagraph"/>
        <w:numPr>
          <w:ilvl w:val="0"/>
          <w:numId w:val="4"/>
        </w:numPr>
        <w:spacing w:after="0" w:line="240" w:lineRule="auto"/>
        <w:jc w:val="both"/>
      </w:pPr>
      <w:r>
        <w:t>Indicators/metrics by sector (i.e. epidemiology, laboratory, WASH, etc.)</w:t>
      </w:r>
    </w:p>
    <w:p w14:paraId="5DED41C0" w14:textId="547F7FC6" w:rsidR="003E7218" w:rsidRDefault="00F66393" w:rsidP="00F66393">
      <w:pPr>
        <w:pStyle w:val="ListParagraph"/>
        <w:numPr>
          <w:ilvl w:val="0"/>
          <w:numId w:val="4"/>
        </w:numPr>
        <w:spacing w:after="0" w:line="240" w:lineRule="auto"/>
        <w:jc w:val="both"/>
      </w:pPr>
      <w:r>
        <w:t>C</w:t>
      </w:r>
      <w:r w:rsidR="00F80240">
        <w:t>urrent/previous interventions (if any)</w:t>
      </w:r>
    </w:p>
    <w:p w14:paraId="146077A0" w14:textId="78D61186" w:rsidR="00C0376E" w:rsidRPr="00C0376E" w:rsidRDefault="00C0376E" w:rsidP="00F66393">
      <w:pPr>
        <w:spacing w:after="0" w:line="240" w:lineRule="auto"/>
        <w:jc w:val="both"/>
        <w:rPr>
          <w:b/>
        </w:rPr>
      </w:pPr>
      <w:r w:rsidRPr="00C0376E">
        <w:rPr>
          <w:b/>
        </w:rPr>
        <w:t>About the context</w:t>
      </w:r>
    </w:p>
    <w:p w14:paraId="0D3E289A" w14:textId="131B66AF" w:rsidR="00F66393" w:rsidRDefault="003869F1" w:rsidP="00F66393">
      <w:pPr>
        <w:spacing w:after="0" w:line="240" w:lineRule="auto"/>
        <w:jc w:val="both"/>
      </w:pPr>
      <w:r>
        <w:t>I</w:t>
      </w:r>
      <w:r w:rsidR="00F66393">
        <w:t>nformation</w:t>
      </w:r>
      <w:r>
        <w:t xml:space="preserve"> that can</w:t>
      </w:r>
      <w:r w:rsidR="00C0376E">
        <w:t xml:space="preserve"> be gathered by individual members of the team:</w:t>
      </w:r>
    </w:p>
    <w:p w14:paraId="0E910452" w14:textId="424A18B8" w:rsidR="00AA392C" w:rsidRPr="007616D4" w:rsidRDefault="00815815" w:rsidP="00815815">
      <w:pPr>
        <w:pStyle w:val="ListParagraph"/>
        <w:numPr>
          <w:ilvl w:val="0"/>
          <w:numId w:val="4"/>
        </w:numPr>
        <w:spacing w:after="0" w:line="240" w:lineRule="auto"/>
      </w:pPr>
      <w:r>
        <w:t xml:space="preserve">Geography   – </w:t>
      </w:r>
      <w:r w:rsidR="007616D4" w:rsidRPr="007616D4">
        <w:t xml:space="preserve">location (topography, towns, </w:t>
      </w:r>
      <w:r w:rsidR="009D62A6">
        <w:t>utilities, climate</w:t>
      </w:r>
      <w:r w:rsidR="007616D4" w:rsidRPr="007616D4">
        <w:t>)</w:t>
      </w:r>
      <w:r w:rsidR="009D62A6">
        <w:t>;</w:t>
      </w:r>
    </w:p>
    <w:p w14:paraId="6C5F77EE" w14:textId="142F5615" w:rsidR="00AA392C" w:rsidRDefault="00395D46" w:rsidP="00815815">
      <w:pPr>
        <w:pStyle w:val="ListParagraph"/>
        <w:numPr>
          <w:ilvl w:val="0"/>
          <w:numId w:val="4"/>
        </w:numPr>
        <w:spacing w:after="0" w:line="240" w:lineRule="auto"/>
      </w:pPr>
      <w:r w:rsidRPr="007616D4">
        <w:t>Demography –</w:t>
      </w:r>
      <w:bookmarkStart w:id="0" w:name="_GoBack"/>
      <w:bookmarkEnd w:id="0"/>
      <w:r w:rsidR="00815815">
        <w:t xml:space="preserve"> </w:t>
      </w:r>
      <w:r w:rsidR="007616D4" w:rsidRPr="007616D4">
        <w:t>sociocultural practices, religion,</w:t>
      </w:r>
      <w:r w:rsidR="009D62A6">
        <w:t xml:space="preserve"> customs,</w:t>
      </w:r>
      <w:r w:rsidR="007616D4" w:rsidRPr="007616D4">
        <w:t xml:space="preserve"> language, triba</w:t>
      </w:r>
      <w:r w:rsidR="009D62A6">
        <w:t>l groups;</w:t>
      </w:r>
    </w:p>
    <w:p w14:paraId="2588E3DE" w14:textId="0E2F4C42" w:rsidR="009D62A6" w:rsidRPr="007616D4" w:rsidRDefault="00815815" w:rsidP="00815815">
      <w:pPr>
        <w:pStyle w:val="ListParagraph"/>
        <w:numPr>
          <w:ilvl w:val="0"/>
          <w:numId w:val="4"/>
        </w:numPr>
        <w:spacing w:after="0" w:line="240" w:lineRule="auto"/>
      </w:pPr>
      <w:r>
        <w:t xml:space="preserve">Political/Security </w:t>
      </w:r>
      <w:r w:rsidRPr="007616D4">
        <w:t>–</w:t>
      </w:r>
      <w:r>
        <w:t xml:space="preserve"> </w:t>
      </w:r>
      <w:r w:rsidR="009D62A6" w:rsidRPr="009D62A6">
        <w:t>conflicts within the community gatherings / events (soc</w:t>
      </w:r>
      <w:r w:rsidR="009D62A6">
        <w:t>io-</w:t>
      </w:r>
      <w:r w:rsidR="009D62A6" w:rsidRPr="009D62A6">
        <w:t>political, festivals, etc.)</w:t>
      </w:r>
      <w:r w:rsidR="003062BD">
        <w:t>, who to contact in case of an emergency</w:t>
      </w:r>
      <w:r w:rsidR="009D62A6">
        <w:t>;</w:t>
      </w:r>
    </w:p>
    <w:p w14:paraId="0F9A7F9D" w14:textId="77777777" w:rsidR="00AA392C" w:rsidRDefault="007616D4" w:rsidP="00815815">
      <w:pPr>
        <w:pStyle w:val="ListParagraph"/>
        <w:numPr>
          <w:ilvl w:val="0"/>
          <w:numId w:val="4"/>
        </w:numPr>
        <w:spacing w:after="0" w:line="240" w:lineRule="auto"/>
      </w:pPr>
      <w:r w:rsidRPr="007616D4">
        <w:t>Environm</w:t>
      </w:r>
      <w:r w:rsidR="009D62A6">
        <w:t>ental risks – mosquitos, water;</w:t>
      </w:r>
    </w:p>
    <w:p w14:paraId="459C563A" w14:textId="19A4D3B4" w:rsidR="00F80240" w:rsidRDefault="00F80240" w:rsidP="00815815">
      <w:pPr>
        <w:pStyle w:val="ListParagraph"/>
        <w:numPr>
          <w:ilvl w:val="0"/>
          <w:numId w:val="4"/>
        </w:numPr>
        <w:spacing w:after="0" w:line="240" w:lineRule="auto"/>
      </w:pPr>
      <w:r>
        <w:t>Stakeholders in the field (sub-national MOH staff, NGOs, international partners, etc.)</w:t>
      </w:r>
    </w:p>
    <w:p w14:paraId="57C7DBC2" w14:textId="77777777" w:rsidR="00815815" w:rsidRDefault="007616D4" w:rsidP="00815815">
      <w:pPr>
        <w:pStyle w:val="ListParagraph"/>
        <w:numPr>
          <w:ilvl w:val="0"/>
          <w:numId w:val="4"/>
        </w:numPr>
        <w:spacing w:after="0" w:line="240" w:lineRule="auto"/>
      </w:pPr>
      <w:r w:rsidRPr="007616D4">
        <w:t>Current public health event (for which they are preparing for).</w:t>
      </w:r>
    </w:p>
    <w:p w14:paraId="2657FD01" w14:textId="402B4A22" w:rsidR="00AA392C" w:rsidRPr="007616D4" w:rsidRDefault="00815815" w:rsidP="00815815">
      <w:pPr>
        <w:pStyle w:val="ListParagraph"/>
        <w:numPr>
          <w:ilvl w:val="0"/>
          <w:numId w:val="4"/>
        </w:numPr>
        <w:spacing w:after="0" w:line="240" w:lineRule="auto"/>
      </w:pPr>
      <w:r>
        <w:t>Others</w:t>
      </w:r>
    </w:p>
    <w:p w14:paraId="2DA7045A" w14:textId="2EB6F268" w:rsidR="00AA392C" w:rsidRDefault="007616D4" w:rsidP="007616D4">
      <w:pPr>
        <w:spacing w:after="0" w:line="240" w:lineRule="auto"/>
        <w:jc w:val="both"/>
      </w:pPr>
      <w:r w:rsidRPr="007616D4">
        <w:rPr>
          <w:b/>
          <w:bCs/>
        </w:rPr>
        <w:lastRenderedPageBreak/>
        <w:t>Training tips</w:t>
      </w:r>
      <w:r w:rsidR="00FE3E3D">
        <w:t xml:space="preserve">: </w:t>
      </w:r>
      <w:r w:rsidRPr="007616D4">
        <w:t xml:space="preserve">ask </w:t>
      </w:r>
      <w:r w:rsidR="009D62A6">
        <w:t>the participants</w:t>
      </w:r>
      <w:r w:rsidRPr="007616D4">
        <w:t xml:space="preserve"> to recall the last time </w:t>
      </w:r>
      <w:r w:rsidR="00394477">
        <w:t>they participated in a response:</w:t>
      </w:r>
      <w:r w:rsidRPr="007616D4">
        <w:t xml:space="preserve"> What were their deployment </w:t>
      </w:r>
      <w:r w:rsidR="00394477" w:rsidRPr="007616D4">
        <w:t>experiences?</w:t>
      </w:r>
      <w:r w:rsidR="00FE3E3D">
        <w:t xml:space="preserve"> Have they always done the preparatory work which consists in gathering information on their place of deployment? If yes, was it helpful? If not, did the lack of information/knowledge generate problems, create barriers and which?</w:t>
      </w:r>
    </w:p>
    <w:p w14:paraId="0F1FEE5D" w14:textId="77777777" w:rsidR="00F52D90" w:rsidRPr="007616D4" w:rsidRDefault="00F52D90" w:rsidP="007616D4">
      <w:pPr>
        <w:spacing w:after="0" w:line="240" w:lineRule="auto"/>
        <w:jc w:val="both"/>
      </w:pPr>
    </w:p>
    <w:p w14:paraId="7B5EC61C" w14:textId="77777777" w:rsidR="009D62A6" w:rsidRDefault="009D62A6" w:rsidP="009D62A6">
      <w:pPr>
        <w:spacing w:after="0" w:line="240" w:lineRule="auto"/>
        <w:jc w:val="both"/>
        <w:rPr>
          <w:b/>
          <w:bCs/>
        </w:rPr>
      </w:pPr>
    </w:p>
    <w:tbl>
      <w:tblPr>
        <w:tblStyle w:val="TableGrid"/>
        <w:tblW w:w="9072" w:type="dxa"/>
        <w:tblInd w:w="108" w:type="dxa"/>
        <w:tblLook w:val="04A0" w:firstRow="1" w:lastRow="0" w:firstColumn="1" w:lastColumn="0" w:noHBand="0" w:noVBand="1"/>
      </w:tblPr>
      <w:tblGrid>
        <w:gridCol w:w="9072"/>
      </w:tblGrid>
      <w:tr w:rsidR="00F52D90" w14:paraId="639CBD88" w14:textId="77777777" w:rsidTr="00F52D90">
        <w:tc>
          <w:tcPr>
            <w:tcW w:w="9072" w:type="dxa"/>
            <w:tcBorders>
              <w:top w:val="single" w:sz="4" w:space="0" w:color="auto"/>
              <w:left w:val="single" w:sz="4" w:space="0" w:color="auto"/>
              <w:bottom w:val="single" w:sz="4" w:space="0" w:color="auto"/>
              <w:right w:val="single" w:sz="4" w:space="0" w:color="auto"/>
            </w:tcBorders>
          </w:tcPr>
          <w:p w14:paraId="668CF575" w14:textId="77777777" w:rsidR="00F52D90" w:rsidRDefault="00F52D90">
            <w:pPr>
              <w:rPr>
                <w:rFonts w:ascii="Univers" w:hAnsi="Univers"/>
                <w:b/>
                <w:bCs/>
                <w:color w:val="0070C0"/>
                <w:sz w:val="24"/>
                <w:szCs w:val="24"/>
                <w:lang w:eastAsia="en-US"/>
              </w:rPr>
            </w:pPr>
            <w:r>
              <w:rPr>
                <w:b/>
                <w:bCs/>
                <w:color w:val="0070C0"/>
                <w:sz w:val="24"/>
                <w:szCs w:val="24"/>
              </w:rPr>
              <w:t>Disclaimer</w:t>
            </w:r>
          </w:p>
          <w:p w14:paraId="48B177F3" w14:textId="77777777" w:rsidR="00F52D90" w:rsidRDefault="00F52D90">
            <w:pPr>
              <w:rPr>
                <w:b/>
                <w:bCs/>
                <w:sz w:val="20"/>
                <w:szCs w:val="24"/>
              </w:rPr>
            </w:pPr>
          </w:p>
          <w:p w14:paraId="5B537513" w14:textId="77777777" w:rsidR="00F52D90" w:rsidRDefault="00F52D90">
            <w:pPr>
              <w:rPr>
                <w:b/>
                <w:bCs/>
                <w:szCs w:val="24"/>
              </w:rPr>
            </w:pPr>
            <w:r>
              <w:rPr>
                <w:b/>
                <w:bCs/>
                <w:szCs w:val="24"/>
              </w:rPr>
              <w:t>WHO Health Security Learning Platform - Training Materials</w:t>
            </w:r>
          </w:p>
          <w:p w14:paraId="2BBF44E7" w14:textId="77777777" w:rsidR="00F52D90" w:rsidRDefault="00F52D90">
            <w:pPr>
              <w:rPr>
                <w:szCs w:val="24"/>
              </w:rPr>
            </w:pPr>
          </w:p>
          <w:p w14:paraId="63C31414" w14:textId="77777777" w:rsidR="00F52D90" w:rsidRDefault="00F52D90">
            <w:pPr>
              <w:rPr>
                <w:szCs w:val="24"/>
              </w:rPr>
            </w:pPr>
            <w:r>
              <w:rPr>
                <w:szCs w:val="24"/>
              </w:rPr>
              <w:t>These WHO Training Materials are © World Health Organization (WHO) 2018. All rights reserved.</w:t>
            </w:r>
          </w:p>
          <w:p w14:paraId="4DE62C04" w14:textId="77777777" w:rsidR="00F52D90" w:rsidRDefault="00F52D90">
            <w:pPr>
              <w:rPr>
                <w:szCs w:val="24"/>
              </w:rPr>
            </w:pPr>
            <w:r>
              <w:rPr>
                <w:szCs w:val="24"/>
              </w:rPr>
              <w:t>Your use of these materials is subject to the “</w:t>
            </w:r>
            <w:hyperlink r:id="rId10" w:history="1">
              <w:r>
                <w:rPr>
                  <w:rStyle w:val="Hyperlink"/>
                  <w:szCs w:val="24"/>
                </w:rPr>
                <w:t>WHO Health Security Learning Platform, Training Materials – Terms of Use</w:t>
              </w:r>
            </w:hyperlink>
            <w:r>
              <w:rPr>
                <w:szCs w:val="24"/>
              </w:rPr>
              <w:t xml:space="preserve">”, which you accepted when downloading them and which are available on the Health Security Learning Platform at: </w:t>
            </w:r>
            <w:hyperlink r:id="rId11" w:history="1">
              <w:r>
                <w:rPr>
                  <w:rStyle w:val="Hyperlink"/>
                  <w:szCs w:val="24"/>
                </w:rPr>
                <w:t>https://extranet.who.int/hslp</w:t>
              </w:r>
            </w:hyperlink>
            <w:r>
              <w:rPr>
                <w:szCs w:val="24"/>
              </w:rPr>
              <w:t xml:space="preserve"> .  </w:t>
            </w:r>
          </w:p>
          <w:p w14:paraId="12336CBF" w14:textId="77777777" w:rsidR="00F52D90" w:rsidRDefault="00F52D90">
            <w:pPr>
              <w:rPr>
                <w:szCs w:val="24"/>
              </w:rPr>
            </w:pPr>
            <w:r>
              <w:rPr>
                <w:szCs w:val="24"/>
              </w:rPr>
              <w:t> </w:t>
            </w:r>
          </w:p>
          <w:p w14:paraId="59DFA650" w14:textId="77777777" w:rsidR="00F52D90" w:rsidRDefault="00F52D90">
            <w:pPr>
              <w:rPr>
                <w:szCs w:val="24"/>
              </w:rPr>
            </w:pPr>
            <w:r>
              <w:rPr>
                <w:szCs w:val="24"/>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73FC3D7A" w14:textId="77777777" w:rsidR="00F52D90" w:rsidRDefault="00F52D90">
            <w:pPr>
              <w:rPr>
                <w:szCs w:val="24"/>
              </w:rPr>
            </w:pPr>
            <w:r>
              <w:rPr>
                <w:szCs w:val="24"/>
              </w:rPr>
              <w:t xml:space="preserve">Further, please inform WHO of any modifications of these materials that you use publicly, for record-keeping purposes and continued development, by emailing </w:t>
            </w:r>
            <w:hyperlink r:id="rId12" w:history="1">
              <w:r>
                <w:rPr>
                  <w:rStyle w:val="Hyperlink"/>
                  <w:szCs w:val="24"/>
                </w:rPr>
                <w:t>ihrhrt@who.int</w:t>
              </w:r>
            </w:hyperlink>
            <w:r>
              <w:rPr>
                <w:szCs w:val="24"/>
              </w:rPr>
              <w:t xml:space="preserve">. </w:t>
            </w:r>
          </w:p>
          <w:p w14:paraId="2ECF592C" w14:textId="77777777" w:rsidR="00F52D90" w:rsidRDefault="00F52D90">
            <w:pPr>
              <w:widowControl w:val="0"/>
              <w:autoSpaceDE w:val="0"/>
              <w:autoSpaceDN w:val="0"/>
              <w:adjustRightInd w:val="0"/>
              <w:rPr>
                <w:rFonts w:ascii="Univers" w:hAnsi="Univers"/>
                <w:b/>
                <w:bCs/>
                <w:color w:val="0070C0"/>
                <w:sz w:val="24"/>
                <w:szCs w:val="24"/>
                <w:lang w:eastAsia="en-US"/>
              </w:rPr>
            </w:pPr>
          </w:p>
        </w:tc>
      </w:tr>
    </w:tbl>
    <w:p w14:paraId="4DD428CA" w14:textId="4DEE9910" w:rsidR="00F52D90" w:rsidRDefault="00F52D90" w:rsidP="009D62A6">
      <w:pPr>
        <w:spacing w:after="0" w:line="240" w:lineRule="auto"/>
        <w:jc w:val="both"/>
        <w:rPr>
          <w:b/>
          <w:bCs/>
        </w:rPr>
      </w:pPr>
    </w:p>
    <w:p w14:paraId="1B13CF82" w14:textId="1D86891F" w:rsidR="00815815" w:rsidRDefault="00815815" w:rsidP="00395D46">
      <w:pPr>
        <w:rPr>
          <w:b/>
          <w:bCs/>
        </w:rPr>
      </w:pPr>
    </w:p>
    <w:sectPr w:rsidR="00815815" w:rsidSect="00815815">
      <w:footerReference w:type="default" r:id="rId13"/>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26BEF" w14:textId="77777777" w:rsidR="0045304A" w:rsidRDefault="0045304A" w:rsidP="00C0376E">
      <w:pPr>
        <w:spacing w:after="0" w:line="240" w:lineRule="auto"/>
      </w:pPr>
      <w:r>
        <w:separator/>
      </w:r>
    </w:p>
  </w:endnote>
  <w:endnote w:type="continuationSeparator" w:id="0">
    <w:p w14:paraId="4D4E9E65" w14:textId="77777777" w:rsidR="0045304A" w:rsidRDefault="0045304A" w:rsidP="00C03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8C905" w14:textId="6372CC6C" w:rsidR="00395D46" w:rsidRPr="00395D46" w:rsidRDefault="00395D46">
    <w:pPr>
      <w:pBdr>
        <w:left w:val="single" w:sz="12" w:space="11" w:color="4F81BD" w:themeColor="accent1"/>
      </w:pBdr>
      <w:tabs>
        <w:tab w:val="left" w:pos="622"/>
      </w:tabs>
      <w:spacing w:after="0"/>
      <w:rPr>
        <w:rFonts w:asciiTheme="majorHAnsi" w:eastAsiaTheme="majorEastAsia" w:hAnsiTheme="majorHAnsi" w:cstheme="majorBidi"/>
        <w:color w:val="365F91" w:themeColor="accent1" w:themeShade="BF"/>
        <w:sz w:val="20"/>
        <w:szCs w:val="20"/>
      </w:rPr>
    </w:pPr>
    <w:r w:rsidRPr="00395D46">
      <w:rPr>
        <w:rFonts w:asciiTheme="majorHAnsi" w:eastAsiaTheme="majorEastAsia" w:hAnsiTheme="majorHAnsi" w:cstheme="majorBidi"/>
        <w:color w:val="365F91" w:themeColor="accent1" w:themeShade="BF"/>
        <w:sz w:val="20"/>
        <w:szCs w:val="20"/>
      </w:rPr>
      <w:fldChar w:fldCharType="begin"/>
    </w:r>
    <w:r w:rsidRPr="00395D46">
      <w:rPr>
        <w:rFonts w:asciiTheme="majorHAnsi" w:eastAsiaTheme="majorEastAsia" w:hAnsiTheme="majorHAnsi" w:cstheme="majorBidi"/>
        <w:color w:val="365F91" w:themeColor="accent1" w:themeShade="BF"/>
        <w:sz w:val="20"/>
        <w:szCs w:val="20"/>
      </w:rPr>
      <w:instrText xml:space="preserve"> PAGE   \* MERGEFORMAT </w:instrText>
    </w:r>
    <w:r w:rsidRPr="00395D46">
      <w:rPr>
        <w:rFonts w:asciiTheme="majorHAnsi" w:eastAsiaTheme="majorEastAsia" w:hAnsiTheme="majorHAnsi" w:cstheme="majorBidi"/>
        <w:color w:val="365F91" w:themeColor="accent1" w:themeShade="BF"/>
        <w:sz w:val="20"/>
        <w:szCs w:val="20"/>
      </w:rPr>
      <w:fldChar w:fldCharType="separate"/>
    </w:r>
    <w:r>
      <w:rPr>
        <w:rFonts w:asciiTheme="majorHAnsi" w:eastAsiaTheme="majorEastAsia" w:hAnsiTheme="majorHAnsi" w:cstheme="majorBidi"/>
        <w:noProof/>
        <w:color w:val="365F91" w:themeColor="accent1" w:themeShade="BF"/>
        <w:sz w:val="20"/>
        <w:szCs w:val="20"/>
      </w:rPr>
      <w:t>1</w:t>
    </w:r>
    <w:r w:rsidRPr="00395D46">
      <w:rPr>
        <w:rFonts w:asciiTheme="majorHAnsi" w:eastAsiaTheme="majorEastAsia" w:hAnsiTheme="majorHAnsi" w:cstheme="majorBidi"/>
        <w:noProof/>
        <w:color w:val="365F91" w:themeColor="accent1" w:themeShade="BF"/>
        <w:sz w:val="20"/>
        <w:szCs w:val="20"/>
      </w:rPr>
      <w:fldChar w:fldCharType="end"/>
    </w:r>
    <w:r w:rsidRPr="00395D46">
      <w:rPr>
        <w:rFonts w:asciiTheme="majorHAnsi" w:eastAsiaTheme="majorEastAsia" w:hAnsiTheme="majorHAnsi" w:cstheme="majorBidi"/>
        <w:noProof/>
        <w:color w:val="365F91" w:themeColor="accent1" w:themeShade="BF"/>
        <w:sz w:val="20"/>
        <w:szCs w:val="20"/>
      </w:rPr>
      <w:t xml:space="preserve"> WHO RRT Training package – Exercise what to know before you go – Facilitator V003 14/05/2018</w:t>
    </w:r>
  </w:p>
  <w:p w14:paraId="038D97CA" w14:textId="77777777" w:rsidR="00C0376E" w:rsidRDefault="00C03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B06BC" w14:textId="77777777" w:rsidR="0045304A" w:rsidRDefault="0045304A" w:rsidP="00C0376E">
      <w:pPr>
        <w:spacing w:after="0" w:line="240" w:lineRule="auto"/>
      </w:pPr>
      <w:r>
        <w:separator/>
      </w:r>
    </w:p>
  </w:footnote>
  <w:footnote w:type="continuationSeparator" w:id="0">
    <w:p w14:paraId="58AD3ACC" w14:textId="77777777" w:rsidR="0045304A" w:rsidRDefault="0045304A" w:rsidP="00C037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200E7"/>
    <w:multiLevelType w:val="hybridMultilevel"/>
    <w:tmpl w:val="8DEE5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2A52C6"/>
    <w:multiLevelType w:val="hybridMultilevel"/>
    <w:tmpl w:val="9580C06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D73EC3"/>
    <w:multiLevelType w:val="hybridMultilevel"/>
    <w:tmpl w:val="04987428"/>
    <w:lvl w:ilvl="0" w:tplc="AD48299A">
      <w:start w:val="1"/>
      <w:numFmt w:val="bullet"/>
      <w:lvlText w:val="•"/>
      <w:lvlJc w:val="left"/>
      <w:pPr>
        <w:tabs>
          <w:tab w:val="num" w:pos="720"/>
        </w:tabs>
        <w:ind w:left="720" w:hanging="360"/>
      </w:pPr>
      <w:rPr>
        <w:rFonts w:ascii="Arial" w:hAnsi="Arial" w:hint="default"/>
      </w:rPr>
    </w:lvl>
    <w:lvl w:ilvl="1" w:tplc="67848C16">
      <w:start w:val="845"/>
      <w:numFmt w:val="bullet"/>
      <w:lvlText w:val="–"/>
      <w:lvlJc w:val="left"/>
      <w:pPr>
        <w:tabs>
          <w:tab w:val="num" w:pos="1440"/>
        </w:tabs>
        <w:ind w:left="1440" w:hanging="360"/>
      </w:pPr>
      <w:rPr>
        <w:rFonts w:ascii="Arial" w:hAnsi="Arial" w:hint="default"/>
      </w:rPr>
    </w:lvl>
    <w:lvl w:ilvl="2" w:tplc="BA944F92" w:tentative="1">
      <w:start w:val="1"/>
      <w:numFmt w:val="bullet"/>
      <w:lvlText w:val="•"/>
      <w:lvlJc w:val="left"/>
      <w:pPr>
        <w:tabs>
          <w:tab w:val="num" w:pos="2160"/>
        </w:tabs>
        <w:ind w:left="2160" w:hanging="360"/>
      </w:pPr>
      <w:rPr>
        <w:rFonts w:ascii="Arial" w:hAnsi="Arial" w:hint="default"/>
      </w:rPr>
    </w:lvl>
    <w:lvl w:ilvl="3" w:tplc="0E36ACDA" w:tentative="1">
      <w:start w:val="1"/>
      <w:numFmt w:val="bullet"/>
      <w:lvlText w:val="•"/>
      <w:lvlJc w:val="left"/>
      <w:pPr>
        <w:tabs>
          <w:tab w:val="num" w:pos="2880"/>
        </w:tabs>
        <w:ind w:left="2880" w:hanging="360"/>
      </w:pPr>
      <w:rPr>
        <w:rFonts w:ascii="Arial" w:hAnsi="Arial" w:hint="default"/>
      </w:rPr>
    </w:lvl>
    <w:lvl w:ilvl="4" w:tplc="967C854E" w:tentative="1">
      <w:start w:val="1"/>
      <w:numFmt w:val="bullet"/>
      <w:lvlText w:val="•"/>
      <w:lvlJc w:val="left"/>
      <w:pPr>
        <w:tabs>
          <w:tab w:val="num" w:pos="3600"/>
        </w:tabs>
        <w:ind w:left="3600" w:hanging="360"/>
      </w:pPr>
      <w:rPr>
        <w:rFonts w:ascii="Arial" w:hAnsi="Arial" w:hint="default"/>
      </w:rPr>
    </w:lvl>
    <w:lvl w:ilvl="5" w:tplc="8BBC1EF8" w:tentative="1">
      <w:start w:val="1"/>
      <w:numFmt w:val="bullet"/>
      <w:lvlText w:val="•"/>
      <w:lvlJc w:val="left"/>
      <w:pPr>
        <w:tabs>
          <w:tab w:val="num" w:pos="4320"/>
        </w:tabs>
        <w:ind w:left="4320" w:hanging="360"/>
      </w:pPr>
      <w:rPr>
        <w:rFonts w:ascii="Arial" w:hAnsi="Arial" w:hint="default"/>
      </w:rPr>
    </w:lvl>
    <w:lvl w:ilvl="6" w:tplc="753E4D38" w:tentative="1">
      <w:start w:val="1"/>
      <w:numFmt w:val="bullet"/>
      <w:lvlText w:val="•"/>
      <w:lvlJc w:val="left"/>
      <w:pPr>
        <w:tabs>
          <w:tab w:val="num" w:pos="5040"/>
        </w:tabs>
        <w:ind w:left="5040" w:hanging="360"/>
      </w:pPr>
      <w:rPr>
        <w:rFonts w:ascii="Arial" w:hAnsi="Arial" w:hint="default"/>
      </w:rPr>
    </w:lvl>
    <w:lvl w:ilvl="7" w:tplc="C0F89B8E" w:tentative="1">
      <w:start w:val="1"/>
      <w:numFmt w:val="bullet"/>
      <w:lvlText w:val="•"/>
      <w:lvlJc w:val="left"/>
      <w:pPr>
        <w:tabs>
          <w:tab w:val="num" w:pos="5760"/>
        </w:tabs>
        <w:ind w:left="5760" w:hanging="360"/>
      </w:pPr>
      <w:rPr>
        <w:rFonts w:ascii="Arial" w:hAnsi="Arial" w:hint="default"/>
      </w:rPr>
    </w:lvl>
    <w:lvl w:ilvl="8" w:tplc="0CFC650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02C08E9"/>
    <w:multiLevelType w:val="hybridMultilevel"/>
    <w:tmpl w:val="12EA09BE"/>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6D4"/>
    <w:rsid w:val="000154DE"/>
    <w:rsid w:val="000B7FAF"/>
    <w:rsid w:val="003062BD"/>
    <w:rsid w:val="003869F1"/>
    <w:rsid w:val="00394477"/>
    <w:rsid w:val="00395D46"/>
    <w:rsid w:val="003E7218"/>
    <w:rsid w:val="00433A22"/>
    <w:rsid w:val="0045304A"/>
    <w:rsid w:val="006448F6"/>
    <w:rsid w:val="007616D4"/>
    <w:rsid w:val="007B63E9"/>
    <w:rsid w:val="007E599E"/>
    <w:rsid w:val="00815815"/>
    <w:rsid w:val="009D62A6"/>
    <w:rsid w:val="00AA392C"/>
    <w:rsid w:val="00AF7CA8"/>
    <w:rsid w:val="00B15517"/>
    <w:rsid w:val="00C0376E"/>
    <w:rsid w:val="00C162A2"/>
    <w:rsid w:val="00D134AE"/>
    <w:rsid w:val="00D136CF"/>
    <w:rsid w:val="00D7605A"/>
    <w:rsid w:val="00E56B83"/>
    <w:rsid w:val="00E9335E"/>
    <w:rsid w:val="00EF5799"/>
    <w:rsid w:val="00F52D90"/>
    <w:rsid w:val="00F66393"/>
    <w:rsid w:val="00F80240"/>
    <w:rsid w:val="00FE3E3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7DEBF"/>
  <w15:docId w15:val="{C228562C-A63B-4CA8-9BD7-08289F02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6D4"/>
    <w:pPr>
      <w:ind w:left="720"/>
      <w:contextualSpacing/>
    </w:pPr>
  </w:style>
  <w:style w:type="paragraph" w:styleId="BalloonText">
    <w:name w:val="Balloon Text"/>
    <w:basedOn w:val="Normal"/>
    <w:link w:val="BalloonTextChar"/>
    <w:uiPriority w:val="99"/>
    <w:semiHidden/>
    <w:unhideWhenUsed/>
    <w:rsid w:val="00B15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517"/>
    <w:rPr>
      <w:rFonts w:ascii="Tahoma" w:hAnsi="Tahoma" w:cs="Tahoma"/>
      <w:sz w:val="16"/>
      <w:szCs w:val="16"/>
    </w:rPr>
  </w:style>
  <w:style w:type="table" w:styleId="TableGrid">
    <w:name w:val="Table Grid"/>
    <w:basedOn w:val="TableNormal"/>
    <w:uiPriority w:val="59"/>
    <w:rsid w:val="00E93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9335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0B7FAF"/>
    <w:rPr>
      <w:sz w:val="16"/>
      <w:szCs w:val="16"/>
    </w:rPr>
  </w:style>
  <w:style w:type="paragraph" w:styleId="CommentText">
    <w:name w:val="annotation text"/>
    <w:basedOn w:val="Normal"/>
    <w:link w:val="CommentTextChar"/>
    <w:uiPriority w:val="99"/>
    <w:semiHidden/>
    <w:unhideWhenUsed/>
    <w:rsid w:val="000B7FAF"/>
    <w:pPr>
      <w:spacing w:line="240" w:lineRule="auto"/>
    </w:pPr>
    <w:rPr>
      <w:sz w:val="20"/>
      <w:szCs w:val="20"/>
    </w:rPr>
  </w:style>
  <w:style w:type="character" w:customStyle="1" w:styleId="CommentTextChar">
    <w:name w:val="Comment Text Char"/>
    <w:basedOn w:val="DefaultParagraphFont"/>
    <w:link w:val="CommentText"/>
    <w:uiPriority w:val="99"/>
    <w:semiHidden/>
    <w:rsid w:val="000B7FAF"/>
    <w:rPr>
      <w:sz w:val="20"/>
      <w:szCs w:val="20"/>
    </w:rPr>
  </w:style>
  <w:style w:type="paragraph" w:styleId="CommentSubject">
    <w:name w:val="annotation subject"/>
    <w:basedOn w:val="CommentText"/>
    <w:next w:val="CommentText"/>
    <w:link w:val="CommentSubjectChar"/>
    <w:uiPriority w:val="99"/>
    <w:semiHidden/>
    <w:unhideWhenUsed/>
    <w:rsid w:val="000B7FAF"/>
    <w:rPr>
      <w:b/>
      <w:bCs/>
    </w:rPr>
  </w:style>
  <w:style w:type="character" w:customStyle="1" w:styleId="CommentSubjectChar">
    <w:name w:val="Comment Subject Char"/>
    <w:basedOn w:val="CommentTextChar"/>
    <w:link w:val="CommentSubject"/>
    <w:uiPriority w:val="99"/>
    <w:semiHidden/>
    <w:rsid w:val="000B7FAF"/>
    <w:rPr>
      <w:b/>
      <w:bCs/>
      <w:sz w:val="20"/>
      <w:szCs w:val="20"/>
    </w:rPr>
  </w:style>
  <w:style w:type="paragraph" w:styleId="Header">
    <w:name w:val="header"/>
    <w:basedOn w:val="Normal"/>
    <w:link w:val="HeaderChar"/>
    <w:uiPriority w:val="99"/>
    <w:unhideWhenUsed/>
    <w:rsid w:val="00C037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76E"/>
  </w:style>
  <w:style w:type="paragraph" w:styleId="Footer">
    <w:name w:val="footer"/>
    <w:basedOn w:val="Normal"/>
    <w:link w:val="FooterChar"/>
    <w:uiPriority w:val="99"/>
    <w:unhideWhenUsed/>
    <w:rsid w:val="00C037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76E"/>
  </w:style>
  <w:style w:type="character" w:styleId="Hyperlink">
    <w:name w:val="Hyperlink"/>
    <w:uiPriority w:val="99"/>
    <w:semiHidden/>
    <w:unhideWhenUsed/>
    <w:rsid w:val="00F52D90"/>
    <w:rPr>
      <w:color w:val="0000FF"/>
      <w:u w:val="single"/>
    </w:rPr>
  </w:style>
  <w:style w:type="table" w:styleId="ListTable1Light">
    <w:name w:val="List Table 1 Light"/>
    <w:basedOn w:val="TableNormal"/>
    <w:uiPriority w:val="46"/>
    <w:rsid w:val="0081581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526435">
      <w:bodyDiv w:val="1"/>
      <w:marLeft w:val="0"/>
      <w:marRight w:val="0"/>
      <w:marTop w:val="0"/>
      <w:marBottom w:val="0"/>
      <w:divBdr>
        <w:top w:val="none" w:sz="0" w:space="0" w:color="auto"/>
        <w:left w:val="none" w:sz="0" w:space="0" w:color="auto"/>
        <w:bottom w:val="none" w:sz="0" w:space="0" w:color="auto"/>
        <w:right w:val="none" w:sz="0" w:space="0" w:color="auto"/>
      </w:divBdr>
    </w:div>
    <w:div w:id="1160006055">
      <w:bodyDiv w:val="1"/>
      <w:marLeft w:val="0"/>
      <w:marRight w:val="0"/>
      <w:marTop w:val="0"/>
      <w:marBottom w:val="0"/>
      <w:divBdr>
        <w:top w:val="none" w:sz="0" w:space="0" w:color="auto"/>
        <w:left w:val="none" w:sz="0" w:space="0" w:color="auto"/>
        <w:bottom w:val="none" w:sz="0" w:space="0" w:color="auto"/>
        <w:right w:val="none" w:sz="0" w:space="0" w:color="auto"/>
      </w:divBdr>
      <w:divsChild>
        <w:div w:id="1272010491">
          <w:marLeft w:val="547"/>
          <w:marRight w:val="0"/>
          <w:marTop w:val="77"/>
          <w:marBottom w:val="0"/>
          <w:divBdr>
            <w:top w:val="none" w:sz="0" w:space="0" w:color="auto"/>
            <w:left w:val="none" w:sz="0" w:space="0" w:color="auto"/>
            <w:bottom w:val="none" w:sz="0" w:space="0" w:color="auto"/>
            <w:right w:val="none" w:sz="0" w:space="0" w:color="auto"/>
          </w:divBdr>
        </w:div>
        <w:div w:id="1649355242">
          <w:marLeft w:val="547"/>
          <w:marRight w:val="0"/>
          <w:marTop w:val="77"/>
          <w:marBottom w:val="0"/>
          <w:divBdr>
            <w:top w:val="none" w:sz="0" w:space="0" w:color="auto"/>
            <w:left w:val="none" w:sz="0" w:space="0" w:color="auto"/>
            <w:bottom w:val="none" w:sz="0" w:space="0" w:color="auto"/>
            <w:right w:val="none" w:sz="0" w:space="0" w:color="auto"/>
          </w:divBdr>
        </w:div>
        <w:div w:id="367334453">
          <w:marLeft w:val="547"/>
          <w:marRight w:val="0"/>
          <w:marTop w:val="77"/>
          <w:marBottom w:val="0"/>
          <w:divBdr>
            <w:top w:val="none" w:sz="0" w:space="0" w:color="auto"/>
            <w:left w:val="none" w:sz="0" w:space="0" w:color="auto"/>
            <w:bottom w:val="none" w:sz="0" w:space="0" w:color="auto"/>
            <w:right w:val="none" w:sz="0" w:space="0" w:color="auto"/>
          </w:divBdr>
        </w:div>
        <w:div w:id="1421096731">
          <w:marLeft w:val="547"/>
          <w:marRight w:val="0"/>
          <w:marTop w:val="77"/>
          <w:marBottom w:val="0"/>
          <w:divBdr>
            <w:top w:val="none" w:sz="0" w:space="0" w:color="auto"/>
            <w:left w:val="none" w:sz="0" w:space="0" w:color="auto"/>
            <w:bottom w:val="none" w:sz="0" w:space="0" w:color="auto"/>
            <w:right w:val="none" w:sz="0" w:space="0" w:color="auto"/>
          </w:divBdr>
        </w:div>
        <w:div w:id="847869324">
          <w:marLeft w:val="1166"/>
          <w:marRight w:val="0"/>
          <w:marTop w:val="67"/>
          <w:marBottom w:val="0"/>
          <w:divBdr>
            <w:top w:val="none" w:sz="0" w:space="0" w:color="auto"/>
            <w:left w:val="none" w:sz="0" w:space="0" w:color="auto"/>
            <w:bottom w:val="none" w:sz="0" w:space="0" w:color="auto"/>
            <w:right w:val="none" w:sz="0" w:space="0" w:color="auto"/>
          </w:divBdr>
        </w:div>
        <w:div w:id="840967720">
          <w:marLeft w:val="1166"/>
          <w:marRight w:val="0"/>
          <w:marTop w:val="67"/>
          <w:marBottom w:val="0"/>
          <w:divBdr>
            <w:top w:val="none" w:sz="0" w:space="0" w:color="auto"/>
            <w:left w:val="none" w:sz="0" w:space="0" w:color="auto"/>
            <w:bottom w:val="none" w:sz="0" w:space="0" w:color="auto"/>
            <w:right w:val="none" w:sz="0" w:space="0" w:color="auto"/>
          </w:divBdr>
        </w:div>
        <w:div w:id="1792624317">
          <w:marLeft w:val="1166"/>
          <w:marRight w:val="0"/>
          <w:marTop w:val="67"/>
          <w:marBottom w:val="0"/>
          <w:divBdr>
            <w:top w:val="none" w:sz="0" w:space="0" w:color="auto"/>
            <w:left w:val="none" w:sz="0" w:space="0" w:color="auto"/>
            <w:bottom w:val="none" w:sz="0" w:space="0" w:color="auto"/>
            <w:right w:val="none" w:sz="0" w:space="0" w:color="auto"/>
          </w:divBdr>
        </w:div>
        <w:div w:id="306520153">
          <w:marLeft w:val="1166"/>
          <w:marRight w:val="0"/>
          <w:marTop w:val="67"/>
          <w:marBottom w:val="0"/>
          <w:divBdr>
            <w:top w:val="none" w:sz="0" w:space="0" w:color="auto"/>
            <w:left w:val="none" w:sz="0" w:space="0" w:color="auto"/>
            <w:bottom w:val="none" w:sz="0" w:space="0" w:color="auto"/>
            <w:right w:val="none" w:sz="0" w:space="0" w:color="auto"/>
          </w:divBdr>
        </w:div>
        <w:div w:id="2078554255">
          <w:marLeft w:val="1166"/>
          <w:marRight w:val="0"/>
          <w:marTop w:val="67"/>
          <w:marBottom w:val="0"/>
          <w:divBdr>
            <w:top w:val="none" w:sz="0" w:space="0" w:color="auto"/>
            <w:left w:val="none" w:sz="0" w:space="0" w:color="auto"/>
            <w:bottom w:val="none" w:sz="0" w:space="0" w:color="auto"/>
            <w:right w:val="none" w:sz="0" w:space="0" w:color="auto"/>
          </w:divBdr>
        </w:div>
        <w:div w:id="604579054">
          <w:marLeft w:val="1166"/>
          <w:marRight w:val="0"/>
          <w:marTop w:val="67"/>
          <w:marBottom w:val="0"/>
          <w:divBdr>
            <w:top w:val="none" w:sz="0" w:space="0" w:color="auto"/>
            <w:left w:val="none" w:sz="0" w:space="0" w:color="auto"/>
            <w:bottom w:val="none" w:sz="0" w:space="0" w:color="auto"/>
            <w:right w:val="none" w:sz="0" w:space="0" w:color="auto"/>
          </w:divBdr>
        </w:div>
        <w:div w:id="413673920">
          <w:marLeft w:val="1166"/>
          <w:marRight w:val="0"/>
          <w:marTop w:val="67"/>
          <w:marBottom w:val="0"/>
          <w:divBdr>
            <w:top w:val="none" w:sz="0" w:space="0" w:color="auto"/>
            <w:left w:val="none" w:sz="0" w:space="0" w:color="auto"/>
            <w:bottom w:val="none" w:sz="0" w:space="0" w:color="auto"/>
            <w:right w:val="none" w:sz="0" w:space="0" w:color="auto"/>
          </w:divBdr>
        </w:div>
        <w:div w:id="1704556869">
          <w:marLeft w:val="1166"/>
          <w:marRight w:val="0"/>
          <w:marTop w:val="67"/>
          <w:marBottom w:val="0"/>
          <w:divBdr>
            <w:top w:val="none" w:sz="0" w:space="0" w:color="auto"/>
            <w:left w:val="none" w:sz="0" w:space="0" w:color="auto"/>
            <w:bottom w:val="none" w:sz="0" w:space="0" w:color="auto"/>
            <w:right w:val="none" w:sz="0" w:space="0" w:color="auto"/>
          </w:divBdr>
        </w:div>
        <w:div w:id="1749620503">
          <w:marLeft w:val="547"/>
          <w:marRight w:val="0"/>
          <w:marTop w:val="77"/>
          <w:marBottom w:val="0"/>
          <w:divBdr>
            <w:top w:val="none" w:sz="0" w:space="0" w:color="auto"/>
            <w:left w:val="none" w:sz="0" w:space="0" w:color="auto"/>
            <w:bottom w:val="none" w:sz="0" w:space="0" w:color="auto"/>
            <w:right w:val="none" w:sz="0" w:space="0" w:color="auto"/>
          </w:divBdr>
        </w:div>
        <w:div w:id="1640570672">
          <w:marLeft w:val="547"/>
          <w:marRight w:val="0"/>
          <w:marTop w:val="77"/>
          <w:marBottom w:val="0"/>
          <w:divBdr>
            <w:top w:val="none" w:sz="0" w:space="0" w:color="auto"/>
            <w:left w:val="none" w:sz="0" w:space="0" w:color="auto"/>
            <w:bottom w:val="none" w:sz="0" w:space="0" w:color="auto"/>
            <w:right w:val="none" w:sz="0" w:space="0" w:color="auto"/>
          </w:divBdr>
        </w:div>
        <w:div w:id="1277448466">
          <w:marLeft w:val="547"/>
          <w:marRight w:val="0"/>
          <w:marTop w:val="77"/>
          <w:marBottom w:val="0"/>
          <w:divBdr>
            <w:top w:val="none" w:sz="0" w:space="0" w:color="auto"/>
            <w:left w:val="none" w:sz="0" w:space="0" w:color="auto"/>
            <w:bottom w:val="none" w:sz="0" w:space="0" w:color="auto"/>
            <w:right w:val="none" w:sz="0" w:space="0" w:color="auto"/>
          </w:divBdr>
        </w:div>
      </w:divsChild>
    </w:div>
    <w:div w:id="1280991092">
      <w:bodyDiv w:val="1"/>
      <w:marLeft w:val="0"/>
      <w:marRight w:val="0"/>
      <w:marTop w:val="0"/>
      <w:marBottom w:val="0"/>
      <w:divBdr>
        <w:top w:val="none" w:sz="0" w:space="0" w:color="auto"/>
        <w:left w:val="none" w:sz="0" w:space="0" w:color="auto"/>
        <w:bottom w:val="none" w:sz="0" w:space="0" w:color="auto"/>
        <w:right w:val="none" w:sz="0" w:space="0" w:color="auto"/>
      </w:divBdr>
      <w:divsChild>
        <w:div w:id="2020500598">
          <w:marLeft w:val="547"/>
          <w:marRight w:val="0"/>
          <w:marTop w:val="77"/>
          <w:marBottom w:val="0"/>
          <w:divBdr>
            <w:top w:val="none" w:sz="0" w:space="0" w:color="auto"/>
            <w:left w:val="none" w:sz="0" w:space="0" w:color="auto"/>
            <w:bottom w:val="none" w:sz="0" w:space="0" w:color="auto"/>
            <w:right w:val="none" w:sz="0" w:space="0" w:color="auto"/>
          </w:divBdr>
        </w:div>
        <w:div w:id="1260406237">
          <w:marLeft w:val="547"/>
          <w:marRight w:val="0"/>
          <w:marTop w:val="77"/>
          <w:marBottom w:val="0"/>
          <w:divBdr>
            <w:top w:val="none" w:sz="0" w:space="0" w:color="auto"/>
            <w:left w:val="none" w:sz="0" w:space="0" w:color="auto"/>
            <w:bottom w:val="none" w:sz="0" w:space="0" w:color="auto"/>
            <w:right w:val="none" w:sz="0" w:space="0" w:color="auto"/>
          </w:divBdr>
        </w:div>
        <w:div w:id="1239557409">
          <w:marLeft w:val="547"/>
          <w:marRight w:val="0"/>
          <w:marTop w:val="77"/>
          <w:marBottom w:val="0"/>
          <w:divBdr>
            <w:top w:val="none" w:sz="0" w:space="0" w:color="auto"/>
            <w:left w:val="none" w:sz="0" w:space="0" w:color="auto"/>
            <w:bottom w:val="none" w:sz="0" w:space="0" w:color="auto"/>
            <w:right w:val="none" w:sz="0" w:space="0" w:color="auto"/>
          </w:divBdr>
        </w:div>
        <w:div w:id="1400401560">
          <w:marLeft w:val="547"/>
          <w:marRight w:val="0"/>
          <w:marTop w:val="77"/>
          <w:marBottom w:val="0"/>
          <w:divBdr>
            <w:top w:val="none" w:sz="0" w:space="0" w:color="auto"/>
            <w:left w:val="none" w:sz="0" w:space="0" w:color="auto"/>
            <w:bottom w:val="none" w:sz="0" w:space="0" w:color="auto"/>
            <w:right w:val="none" w:sz="0" w:space="0" w:color="auto"/>
          </w:divBdr>
        </w:div>
        <w:div w:id="409431205">
          <w:marLeft w:val="1166"/>
          <w:marRight w:val="0"/>
          <w:marTop w:val="67"/>
          <w:marBottom w:val="0"/>
          <w:divBdr>
            <w:top w:val="none" w:sz="0" w:space="0" w:color="auto"/>
            <w:left w:val="none" w:sz="0" w:space="0" w:color="auto"/>
            <w:bottom w:val="none" w:sz="0" w:space="0" w:color="auto"/>
            <w:right w:val="none" w:sz="0" w:space="0" w:color="auto"/>
          </w:divBdr>
        </w:div>
        <w:div w:id="1582255105">
          <w:marLeft w:val="1166"/>
          <w:marRight w:val="0"/>
          <w:marTop w:val="67"/>
          <w:marBottom w:val="0"/>
          <w:divBdr>
            <w:top w:val="none" w:sz="0" w:space="0" w:color="auto"/>
            <w:left w:val="none" w:sz="0" w:space="0" w:color="auto"/>
            <w:bottom w:val="none" w:sz="0" w:space="0" w:color="auto"/>
            <w:right w:val="none" w:sz="0" w:space="0" w:color="auto"/>
          </w:divBdr>
        </w:div>
        <w:div w:id="505369032">
          <w:marLeft w:val="1166"/>
          <w:marRight w:val="0"/>
          <w:marTop w:val="67"/>
          <w:marBottom w:val="0"/>
          <w:divBdr>
            <w:top w:val="none" w:sz="0" w:space="0" w:color="auto"/>
            <w:left w:val="none" w:sz="0" w:space="0" w:color="auto"/>
            <w:bottom w:val="none" w:sz="0" w:space="0" w:color="auto"/>
            <w:right w:val="none" w:sz="0" w:space="0" w:color="auto"/>
          </w:divBdr>
        </w:div>
        <w:div w:id="1991514523">
          <w:marLeft w:val="1166"/>
          <w:marRight w:val="0"/>
          <w:marTop w:val="67"/>
          <w:marBottom w:val="0"/>
          <w:divBdr>
            <w:top w:val="none" w:sz="0" w:space="0" w:color="auto"/>
            <w:left w:val="none" w:sz="0" w:space="0" w:color="auto"/>
            <w:bottom w:val="none" w:sz="0" w:space="0" w:color="auto"/>
            <w:right w:val="none" w:sz="0" w:space="0" w:color="auto"/>
          </w:divBdr>
        </w:div>
        <w:div w:id="404181436">
          <w:marLeft w:val="1166"/>
          <w:marRight w:val="0"/>
          <w:marTop w:val="67"/>
          <w:marBottom w:val="0"/>
          <w:divBdr>
            <w:top w:val="none" w:sz="0" w:space="0" w:color="auto"/>
            <w:left w:val="none" w:sz="0" w:space="0" w:color="auto"/>
            <w:bottom w:val="none" w:sz="0" w:space="0" w:color="auto"/>
            <w:right w:val="none" w:sz="0" w:space="0" w:color="auto"/>
          </w:divBdr>
        </w:div>
        <w:div w:id="1980264461">
          <w:marLeft w:val="1166"/>
          <w:marRight w:val="0"/>
          <w:marTop w:val="67"/>
          <w:marBottom w:val="0"/>
          <w:divBdr>
            <w:top w:val="none" w:sz="0" w:space="0" w:color="auto"/>
            <w:left w:val="none" w:sz="0" w:space="0" w:color="auto"/>
            <w:bottom w:val="none" w:sz="0" w:space="0" w:color="auto"/>
            <w:right w:val="none" w:sz="0" w:space="0" w:color="auto"/>
          </w:divBdr>
        </w:div>
        <w:div w:id="2125075361">
          <w:marLeft w:val="1166"/>
          <w:marRight w:val="0"/>
          <w:marTop w:val="67"/>
          <w:marBottom w:val="0"/>
          <w:divBdr>
            <w:top w:val="none" w:sz="0" w:space="0" w:color="auto"/>
            <w:left w:val="none" w:sz="0" w:space="0" w:color="auto"/>
            <w:bottom w:val="none" w:sz="0" w:space="0" w:color="auto"/>
            <w:right w:val="none" w:sz="0" w:space="0" w:color="auto"/>
          </w:divBdr>
        </w:div>
        <w:div w:id="1087264911">
          <w:marLeft w:val="1166"/>
          <w:marRight w:val="0"/>
          <w:marTop w:val="67"/>
          <w:marBottom w:val="0"/>
          <w:divBdr>
            <w:top w:val="none" w:sz="0" w:space="0" w:color="auto"/>
            <w:left w:val="none" w:sz="0" w:space="0" w:color="auto"/>
            <w:bottom w:val="none" w:sz="0" w:space="0" w:color="auto"/>
            <w:right w:val="none" w:sz="0" w:space="0" w:color="auto"/>
          </w:divBdr>
        </w:div>
        <w:div w:id="2068919365">
          <w:marLeft w:val="547"/>
          <w:marRight w:val="0"/>
          <w:marTop w:val="77"/>
          <w:marBottom w:val="0"/>
          <w:divBdr>
            <w:top w:val="none" w:sz="0" w:space="0" w:color="auto"/>
            <w:left w:val="none" w:sz="0" w:space="0" w:color="auto"/>
            <w:bottom w:val="none" w:sz="0" w:space="0" w:color="auto"/>
            <w:right w:val="none" w:sz="0" w:space="0" w:color="auto"/>
          </w:divBdr>
        </w:div>
        <w:div w:id="1684279800">
          <w:marLeft w:val="547"/>
          <w:marRight w:val="0"/>
          <w:marTop w:val="77"/>
          <w:marBottom w:val="0"/>
          <w:divBdr>
            <w:top w:val="none" w:sz="0" w:space="0" w:color="auto"/>
            <w:left w:val="none" w:sz="0" w:space="0" w:color="auto"/>
            <w:bottom w:val="none" w:sz="0" w:space="0" w:color="auto"/>
            <w:right w:val="none" w:sz="0" w:space="0" w:color="auto"/>
          </w:divBdr>
        </w:div>
        <w:div w:id="2118675879">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hrhrt@who.i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xtranet.who.int/hslp/?q=content/terms-u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DE593A36A6874285991743F2BE28E9" ma:contentTypeVersion="0" ma:contentTypeDescription="Create a new document." ma:contentTypeScope="" ma:versionID="c4cae042d4c79ee54905f63930fcba5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C2C4FD-0049-4731-A88B-9BBA0A569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322E57-1E49-4EFB-A9C0-CA27DE539710}">
  <ds:schemaRefs>
    <ds:schemaRef ds:uri="http://schemas.microsoft.com/sharepoint/v3/contenttype/forms"/>
  </ds:schemaRefs>
</ds:datastoreItem>
</file>

<file path=customXml/itemProps3.xml><?xml version="1.0" encoding="utf-8"?>
<ds:datastoreItem xmlns:ds="http://schemas.openxmlformats.org/officeDocument/2006/customXml" ds:itemID="{C71C2D31-7AAB-40A2-869A-2D73D0D45B8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2</cp:revision>
  <dcterms:created xsi:type="dcterms:W3CDTF">2018-05-14T16:16:00Z</dcterms:created>
  <dcterms:modified xsi:type="dcterms:W3CDTF">2018-05-14T16:16:00Z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0x0101009FDE593A36A6874285991743F2BE28E9</vt:lpwstr>
  </property>
  <property fmtid="{D5CDD505-2E9C-101B-9397-08002B2CF9AE}" pid="3" name="_dlc_DocIdItemGuid">
    <vt:lpwstr>90ba4b23-72c9-4d74-a6f6-0f0a8d53aca1</vt:lpwstr>
  </property>
</Properties>
</file>